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2"/>
          <w:szCs w:val="32"/>
        </w:rPr>
      </w:pPr>
    </w:p>
    <w:p>
      <w:pPr>
        <w:pStyle w:val="4"/>
        <w:widowControl/>
        <w:spacing w:before="100" w:after="10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浙江省物价局、浙江省卫计委、浙江省人力资源和社会保障厅联合签发的浙价医【2015】137号文件精神，经过医院价格委员会讨论决定，同意新增以下特需医疗项目，自即日起，对以下新增特需医疗项目进行公示。具体内容见附件下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sz w:val="28"/>
          <w:szCs w:val="28"/>
        </w:rPr>
      </w:pPr>
    </w:p>
    <w:p>
      <w:pPr>
        <w:ind w:firstLine="10360" w:firstLineChars="3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浙江省口腔医院医费办</w:t>
      </w:r>
    </w:p>
    <w:p>
      <w:pPr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2017.1.3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643" w:firstLineChars="200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新增特需项目一览表</w:t>
      </w:r>
    </w:p>
    <w:tbl>
      <w:tblPr>
        <w:tblStyle w:val="6"/>
        <w:tblW w:w="14000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3543"/>
        <w:gridCol w:w="2798"/>
        <w:gridCol w:w="1641"/>
        <w:gridCol w:w="1160"/>
        <w:gridCol w:w="939"/>
        <w:gridCol w:w="867"/>
        <w:gridCol w:w="1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69" w:type="dxa"/>
            <w:tcBorders>
              <w:top w:val="double" w:color="538ED5" w:sz="6" w:space="0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543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98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项目内涵</w:t>
            </w:r>
          </w:p>
        </w:tc>
        <w:tc>
          <w:tcPr>
            <w:tcW w:w="1641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除外内容</w:t>
            </w:r>
          </w:p>
        </w:tc>
        <w:tc>
          <w:tcPr>
            <w:tcW w:w="1160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计价单位</w:t>
            </w:r>
          </w:p>
        </w:tc>
        <w:tc>
          <w:tcPr>
            <w:tcW w:w="939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价格（元）</w:t>
            </w:r>
          </w:p>
        </w:tc>
        <w:tc>
          <w:tcPr>
            <w:tcW w:w="867" w:type="dxa"/>
            <w:tcBorders>
              <w:top w:val="double" w:color="538ED5" w:sz="6" w:space="0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计价说明</w:t>
            </w:r>
          </w:p>
        </w:tc>
        <w:tc>
          <w:tcPr>
            <w:tcW w:w="1583" w:type="dxa"/>
            <w:tcBorders>
              <w:top w:val="double" w:color="538ED5" w:sz="6" w:space="0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正畸科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颞下颌关节功能紊乱合垫治疗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口内合关系获取与记录,合架调试，合板制作，临床试戴，调试。复诊调磨。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检查设计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疗程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儿童骨性畸形早期矫正治疗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儿童早期骨性错合（乳牙列及替牙列）的检查，诊断，取模，个体化矫形器,复诊治疗(约24次复诊)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检查设计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疗程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鼾症的个体化治疗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初次评估、沟通、诊断、临床确定矫治目标位、蜡型合位记录以及矫治器戴用，矫治器颌位调整及上合架确定咬合位置，复诊检查治疗(每疗程持续2年左右,12-18次复诊)等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阻鼾器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疗程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牙周科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激光引导牙周组织再生术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包括牙周袋的激光消毒、凝血、灭菌，促进牙周组织再生；牙周手术中及术后的激光治疗。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除外脱敏剂、光敏剂等特殊材料，除外牙周塞治剂和牙周微创深度洁治术。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牙体牙髓科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分层美容修复术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美学设计和功能修复设计、牙体制备、酸蚀、粘结、多层色分层充填、形态修整、抛光、健康指导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显微镜下微创牙体保存治疗术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美学设计和功能修复设计、显微镜下牙体微细结构观察、牙体修复、钙化组织去除、异物取出等。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牙冠渗透美容修复术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美学设计、离子交换、粘结、渗透、形态修整、抛光、健康指导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15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自体牙冠美容再接术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美学设计和功能修复设计、自体牙断端处理、酸蚀、粘结、形态修整、抛光、健康指导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离体断冠不完整需树脂补全者，费用加收300；离体断冠裂成2片以上且对位困难者，费用加收800；裂至龈下2mm以上需排龈者，费用加收300。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口腔修复科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玻璃陶瓷嵌体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玻璃陶瓷贴面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超薄瓷贴面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瓷仿真染色术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美学区比色，数字摄影，口内染色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硅橡胶取模（1/4托盘）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排龈、硅橡胶印模材料，取模，灌模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1/4颌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义齿间接重衬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内衬材料、临床取模、灌模，义齿制作，调改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数字化美学设计（DSD）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口内扫描，生成数字印模，完成三维美学设计，制作美学导板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数字印模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口内扫描，数字模型设计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牙龈瓷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比色，牙龈瓷，外染色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氧化锆玻璃复合瓷全冠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氧化锆嵌体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诊断蜡型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牙备，取模，灌魔，蜡型制作， 试戴，医患交流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义齿直接重衬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内衬材料、临床制作，调改，抛光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铸瓷嵌体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铸瓷贴面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铸造桩、冠破除术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拆铸造合金材料全冠及桩等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破冠车针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14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金合金嵌体（磨牙）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牙备，排龈、取模，牙合记录、比色、义齿制作、义齿试戴、义齿调改、进口粘结剂，进口硅橡胶印模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口腔颌面外科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3DMD颌面软组织三维成像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正畸正颌联合治疗初诊、术前模拟、术后 3D颌面软组织拍摄及成像，CBCT数据拟合，面貌重建。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新技术新项目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精英门诊特需挂号费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名医门诊特需挂号费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538ED5" w:sz="4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538ED5" w:sz="4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9" w:type="dxa"/>
            <w:tcBorders>
              <w:top w:val="nil"/>
              <w:left w:val="double" w:color="538ED5" w:sz="6" w:space="0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牙颌面畸形多学科联合诊疗门诊特需挂号费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70" w:hRule="atLeast"/>
        </w:trPr>
        <w:tc>
          <w:tcPr>
            <w:tcW w:w="1469" w:type="dxa"/>
            <w:tcBorders>
              <w:top w:val="single" w:color="538ED5" w:sz="4" w:space="0"/>
              <w:left w:val="double" w:color="538ED5" w:sz="6" w:space="0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3543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多学科联合门诊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MDT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）特需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挂号费</w:t>
            </w:r>
          </w:p>
        </w:tc>
        <w:tc>
          <w:tcPr>
            <w:tcW w:w="2798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科室</w:t>
            </w:r>
          </w:p>
        </w:tc>
        <w:tc>
          <w:tcPr>
            <w:tcW w:w="939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</w:p>
        </w:tc>
        <w:tc>
          <w:tcPr>
            <w:tcW w:w="867" w:type="dxa"/>
            <w:tcBorders>
              <w:top w:val="single" w:color="538ED5" w:sz="4" w:space="0"/>
              <w:left w:val="nil"/>
              <w:bottom w:val="double" w:color="538ED5" w:sz="6" w:space="0"/>
              <w:right w:val="single" w:color="538ED5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83" w:type="dxa"/>
            <w:tcBorders>
              <w:top w:val="single" w:color="538ED5" w:sz="4" w:space="0"/>
              <w:left w:val="nil"/>
              <w:bottom w:val="double" w:color="538ED5" w:sz="6" w:space="0"/>
              <w:right w:val="double" w:color="538ED5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2个科室起收，每个科室150元，750元封顶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3DCA"/>
    <w:rsid w:val="00121E22"/>
    <w:rsid w:val="00191496"/>
    <w:rsid w:val="002B146A"/>
    <w:rsid w:val="002C73A1"/>
    <w:rsid w:val="004F043F"/>
    <w:rsid w:val="0077501D"/>
    <w:rsid w:val="008A3DCA"/>
    <w:rsid w:val="00A46CF6"/>
    <w:rsid w:val="00CC4794"/>
    <w:rsid w:val="00E25DB4"/>
    <w:rsid w:val="025A7E7E"/>
    <w:rsid w:val="0C306177"/>
    <w:rsid w:val="0F6404C5"/>
    <w:rsid w:val="16DE3EFD"/>
    <w:rsid w:val="1ADE185B"/>
    <w:rsid w:val="33750A46"/>
    <w:rsid w:val="35AA6714"/>
    <w:rsid w:val="4092650F"/>
    <w:rsid w:val="416C6C85"/>
    <w:rsid w:val="579A1730"/>
    <w:rsid w:val="58611C52"/>
    <w:rsid w:val="68BF2952"/>
    <w:rsid w:val="6BDE12E1"/>
    <w:rsid w:val="70990F34"/>
    <w:rsid w:val="75F407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351</Words>
  <Characters>2002</Characters>
  <Lines>16</Lines>
  <Paragraphs>4</Paragraphs>
  <TotalTime>0</TotalTime>
  <ScaleCrop>false</ScaleCrop>
  <LinksUpToDate>false</LinksUpToDate>
  <CharactersWithSpaces>2349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Leeyue</cp:lastModifiedBy>
  <dcterms:modified xsi:type="dcterms:W3CDTF">2017-01-04T00:59:10Z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